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3A5AD">
      <w:pPr>
        <w:jc w:val="both"/>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附件3</w:t>
      </w:r>
    </w:p>
    <w:p w14:paraId="0A7D86E7">
      <w:pPr>
        <w:jc w:val="center"/>
        <w:rPr>
          <w:rFonts w:hint="eastAsia" w:ascii="仿宋" w:hAnsi="仿宋" w:eastAsia="仿宋" w:cs="仿宋"/>
          <w:b/>
          <w:bCs/>
          <w:color w:val="000000"/>
          <w:sz w:val="32"/>
          <w:szCs w:val="32"/>
          <w:highlight w:val="none"/>
        </w:rPr>
      </w:pPr>
      <w:r>
        <w:rPr>
          <w:rFonts w:hint="eastAsia" w:ascii="仿宋" w:hAnsi="仿宋" w:eastAsia="仿宋" w:cs="仿宋"/>
          <w:b/>
          <w:bCs/>
          <w:sz w:val="32"/>
          <w:szCs w:val="32"/>
          <w:highlight w:val="none"/>
          <w:lang w:val="en-US" w:eastAsia="zh-CN"/>
        </w:rPr>
        <w:t>古建预算员</w:t>
      </w:r>
      <w:r>
        <w:rPr>
          <w:rFonts w:hint="eastAsia" w:ascii="仿宋" w:hAnsi="仿宋" w:eastAsia="仿宋" w:cs="仿宋"/>
          <w:b/>
          <w:bCs/>
          <w:color w:val="000000"/>
          <w:sz w:val="32"/>
          <w:szCs w:val="32"/>
          <w:highlight w:val="none"/>
        </w:rPr>
        <w:t>继续教育大纲</w:t>
      </w:r>
    </w:p>
    <w:p w14:paraId="6EA64014">
      <w:pPr>
        <w:ind w:left="422" w:leftChars="201"/>
        <w:jc w:val="center"/>
        <w:rPr>
          <w:rFonts w:hint="eastAsia" w:ascii="仿宋" w:hAnsi="仿宋" w:eastAsia="仿宋" w:cs="仿宋"/>
          <w:b/>
          <w:bCs/>
          <w:sz w:val="32"/>
          <w:szCs w:val="32"/>
          <w:highlight w:val="none"/>
        </w:rPr>
      </w:pPr>
    </w:p>
    <w:p w14:paraId="17BB4B9F">
      <w:pPr>
        <w:jc w:val="left"/>
        <w:rPr>
          <w:rFonts w:hint="eastAsia" w:ascii="仿宋" w:hAnsi="仿宋" w:eastAsia="仿宋" w:cs="仿宋"/>
          <w:sz w:val="32"/>
          <w:szCs w:val="32"/>
          <w:highlight w:val="none"/>
        </w:rPr>
      </w:pPr>
      <w:r>
        <w:rPr>
          <w:rFonts w:hint="eastAsia" w:ascii="仿宋" w:hAnsi="仿宋" w:eastAsia="仿宋" w:cs="仿宋"/>
          <w:b/>
          <w:sz w:val="32"/>
          <w:szCs w:val="32"/>
          <w:highlight w:val="none"/>
        </w:rPr>
        <w:t>一、相关法律法规*</w:t>
      </w:r>
      <w:r>
        <w:rPr>
          <w:rFonts w:hint="eastAsia" w:ascii="仿宋" w:hAnsi="仿宋" w:eastAsia="仿宋" w:cs="仿宋"/>
          <w:b/>
          <w:sz w:val="32"/>
          <w:szCs w:val="32"/>
          <w:highlight w:val="none"/>
        </w:rPr>
        <w:br w:type="textWrapping"/>
      </w:r>
      <w:r>
        <w:rPr>
          <w:rFonts w:hint="eastAsia" w:ascii="仿宋" w:hAnsi="仿宋" w:eastAsia="仿宋" w:cs="仿宋"/>
          <w:sz w:val="32"/>
          <w:szCs w:val="32"/>
          <w:highlight w:val="none"/>
        </w:rPr>
        <w:t>1.《中华人民共和国民法典》相关规定</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2.《中华人民共和国刑法》相关规定</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3.《中华人民共和国安全生产法》相关规定</w:t>
      </w:r>
      <w:r>
        <w:rPr>
          <w:rFonts w:hint="eastAsia" w:ascii="仿宋" w:hAnsi="仿宋" w:eastAsia="仿宋" w:cs="仿宋"/>
          <w:b/>
          <w:sz w:val="32"/>
          <w:szCs w:val="32"/>
          <w:highlight w:val="none"/>
        </w:rPr>
        <w:br w:type="textWrapping"/>
      </w:r>
      <w:r>
        <w:rPr>
          <w:rFonts w:hint="eastAsia" w:ascii="仿宋" w:hAnsi="仿宋" w:eastAsia="仿宋" w:cs="仿宋"/>
          <w:b/>
          <w:sz w:val="32"/>
          <w:szCs w:val="32"/>
          <w:highlight w:val="none"/>
        </w:rPr>
        <w:t>二、北京市相关计价及配套定额</w:t>
      </w:r>
      <w:r>
        <w:rPr>
          <w:rFonts w:hint="eastAsia" w:ascii="仿宋" w:hAnsi="仿宋" w:eastAsia="仿宋" w:cs="仿宋"/>
          <w:b/>
          <w:sz w:val="32"/>
          <w:szCs w:val="32"/>
          <w:highlight w:val="none"/>
        </w:rPr>
        <w:br w:type="textWrapping"/>
      </w:r>
      <w:r>
        <w:rPr>
          <w:rFonts w:hint="eastAsia" w:ascii="仿宋" w:hAnsi="仿宋" w:eastAsia="仿宋" w:cs="仿宋"/>
          <w:sz w:val="32"/>
          <w:szCs w:val="32"/>
          <w:highlight w:val="none"/>
        </w:rPr>
        <w:t>1. 2018年《北京市建设工程工期定额》、《北京市房屋修缮工程工期定额》*</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2. 2021年《北京市房屋修缮工程计价依据—预算消耗量标准》—土建工程*</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3. 2021年《北京市房屋修缮工程计价依据—预算消耗量标准》—安装工程</w:t>
      </w:r>
      <w:bookmarkStart w:id="0" w:name="_Hlk214290407"/>
      <w:r>
        <w:rPr>
          <w:rFonts w:hint="eastAsia" w:ascii="仿宋" w:hAnsi="仿宋" w:eastAsia="仿宋" w:cs="仿宋"/>
          <w:sz w:val="32"/>
          <w:szCs w:val="32"/>
          <w:highlight w:val="none"/>
        </w:rPr>
        <w:t>*</w:t>
      </w:r>
      <w:bookmarkEnd w:id="0"/>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4. 2021年《北京市房屋修缮工程计价依据—预算消耗量标准》—古建筑工程*</w:t>
      </w:r>
    </w:p>
    <w:p w14:paraId="3FEFE07A">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5. 北京市地方标准《建设工程施工消耗量标准》（DB11/T 2382）—仿古建筑工程*</w:t>
      </w:r>
    </w:p>
    <w:p w14:paraId="74FA98E9">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6.《建设工程工程量清单计价标准》（GB/T 50500-2024）*</w:t>
      </w:r>
    </w:p>
    <w:p w14:paraId="16DAB0B6">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7.《房屋建筑与装饰工程工程量清单计算标准》（GB/T 50854-2024）*</w:t>
      </w:r>
    </w:p>
    <w:p w14:paraId="15EF2FCE">
      <w:pPr>
        <w:jc w:val="left"/>
        <w:rPr>
          <w:rFonts w:hint="eastAsia" w:ascii="仿宋" w:hAnsi="仿宋" w:eastAsia="仿宋" w:cs="仿宋"/>
          <w:b/>
          <w:sz w:val="32"/>
          <w:szCs w:val="32"/>
          <w:highlight w:val="none"/>
        </w:rPr>
      </w:pPr>
      <w:r>
        <w:rPr>
          <w:rFonts w:hint="eastAsia" w:ascii="仿宋" w:hAnsi="仿宋" w:eastAsia="仿宋" w:cs="仿宋"/>
          <w:sz w:val="32"/>
          <w:szCs w:val="32"/>
          <w:highlight w:val="none"/>
        </w:rPr>
        <w:t>8.北京市地方标准《房屋修缮工程工程量计算标准》（DB11/T 638-2023）*</w:t>
      </w:r>
      <w:r>
        <w:rPr>
          <w:rFonts w:hint="eastAsia" w:ascii="仿宋" w:hAnsi="仿宋" w:eastAsia="仿宋" w:cs="仿宋"/>
          <w:sz w:val="32"/>
          <w:szCs w:val="32"/>
          <w:highlight w:val="none"/>
        </w:rPr>
        <w:br w:type="textWrapping"/>
      </w:r>
      <w:r>
        <w:rPr>
          <w:rFonts w:hint="eastAsia" w:ascii="仿宋" w:hAnsi="仿宋" w:eastAsia="仿宋" w:cs="仿宋"/>
          <w:b/>
          <w:sz w:val="32"/>
          <w:szCs w:val="32"/>
          <w:highlight w:val="none"/>
        </w:rPr>
        <w:t>三、有关建筑工程造价管理相关文件</w:t>
      </w:r>
    </w:p>
    <w:p w14:paraId="62A1A2D2">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1.《中华人民共和国招标投标法实施条例》（2019年3月2号《国务院关于修改部分行政法规的决定》第三次修订）*</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2.《住房和城乡建设部关于修改&lt;工程造价咨询企业管理办法&gt;&lt;注册造价工程师管理办法&gt;的决定》（2020年2月29下达50号令）*</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3.《住房和城乡建设部办公厅关于加强新冠肺炎疫情防控有序推动企业复工工作的通知》（建办市〔2020〕5号）*</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4.《北京市住房和城乡建设委员会关于施工现场新型冠形病毒感染的肺炎疫情防控工作的通知》（京建发〔2020〕13号）*</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5.《关于受新冠肺炎疫情影响工程造价和工期调整的指导意见》（京建发〔2020〕55号）*</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6. 北京市造价处1-22号《关于新冠肺炎疫情防控期间复工工程进一步做好造价管理工作的指导意见》*</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7. 关于印发《北京市建设工程安全文明施工费管理办法（试行）》的通知（京建法〔2019〕9号，2019年4月12日）*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8. 关于执行2018年《北京市建设工程工期定额》和2018年《北京市房屋修缮工程工期定额》的通知（京建法〔2019〕4号，2019年2月11日）*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9. 关于调整北京市建设工程计价依据增值税税率的通知（京建发〔2019〕141号，2019年4月4日）*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10.关于调整北京市建设工程规费费率的通知（</w:t>
      </w:r>
      <w:bookmarkStart w:id="1" w:name="OLE_LINK1"/>
      <w:r>
        <w:rPr>
          <w:rFonts w:hint="eastAsia" w:ascii="仿宋" w:hAnsi="仿宋" w:eastAsia="仿宋" w:cs="仿宋"/>
          <w:sz w:val="32"/>
          <w:szCs w:val="32"/>
          <w:highlight w:val="none"/>
        </w:rPr>
        <w:t>京建发〔2019〕333</w:t>
      </w:r>
      <w:bookmarkEnd w:id="1"/>
      <w:r>
        <w:rPr>
          <w:rFonts w:hint="eastAsia" w:ascii="仿宋" w:hAnsi="仿宋" w:eastAsia="仿宋" w:cs="仿宋"/>
          <w:sz w:val="32"/>
          <w:szCs w:val="32"/>
          <w:highlight w:val="none"/>
        </w:rPr>
        <w:t>号，2019年7月29日）*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11. 北京市住房和城乡建设委员会印发《关于加强建设工程施工合同中人工、材料等市场价格风险防范与控制的指导意见》的通知（京建发〔2021〕270号， 2021年8月11日）*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12. 关于印发2021年《北京市建设工程计价依据—预算消耗量标准》和《北京市房屋修缮工程计价依据—预算消耗量标准》的通知（京建发〔2021〕201号， 2021年9月7日）*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13. 关于印发配套2021年《预算消耗量标准》计价的安全文明施工费等费用标准的通知（京建发〔2021〕404号， 2021年12月8日）*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14. 北京市住房和城乡建设委员会印发《关于进一步做好受新冠肺炎疫情影响工程造价和工期调整工作的指导意见》的通知（京建发〔2022〕176号， 2022年5月24日）*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15. 北京市住房和城乡建设委员会印发关于明确安全文明施工费中常态化疫情防控措施费用标准的通知（京建发〔2022〕190号， 2022年6月2日）*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16. 北京市住房和城乡建设委员会印发《关于合理确定建设工程工期和规范工期管理的指导意见》的通知（京建发〔2022〕236号， 2022年7月1日）*</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17. 北京市住房和城乡建设委员会关于发布2021年《北京市建设工程计价依据—预算消耗量标准》动态调整（第一期）的通知（京建发〔2022〕373号， 2021年9月29日）*</w:t>
      </w:r>
    </w:p>
    <w:p w14:paraId="0BF42A8A">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18. 财政部住房城乡建设部关于完善建设工程价款结算有关办法的通知（财建〔2022〕183号）2022年6月14日*</w:t>
      </w:r>
    </w:p>
    <w:p w14:paraId="12650DAE">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19. 住房和城乡建设部办公厅、交通运输部办公厅、水利部办公厅、国家铁路局综合司、中国民用航空局综合司联合印发《关于阶段性缓缴工程质量保证金的通知》（以下简称《通知》）2022.10*</w:t>
      </w:r>
    </w:p>
    <w:p w14:paraId="72C7E436">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 2021 年《北京市房屋修缮工程计价依据——预算消耗量标准》</w:t>
      </w:r>
    </w:p>
    <w:p w14:paraId="5B50BD12">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勘误表（第一期）（古建筑工程）2022.10*</w:t>
      </w:r>
    </w:p>
    <w:p w14:paraId="27791DC7">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21. 北京市房屋修缮工程计价依据应用热点问题解答（第一期~第四期）</w:t>
      </w:r>
    </w:p>
    <w:p w14:paraId="0E442BA4">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22. 北京市住房和城乡建设委员会关于发布《北京市房屋建筑和市政工程施工招标文件标准文本（2025版）》等八个标准文本的通知（京建发〔2025〕421号）发布日期：2025年09月10日*</w:t>
      </w:r>
    </w:p>
    <w:p w14:paraId="5A87BE71">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23. 北京市住房和城乡建设委员会印发《关于执行〈建设工程工程量清单计价标准〉及配套工程量计算标准的实施意见》的通知（京建发〔2025〕377号）发布时间：2025年08月21日</w:t>
      </w:r>
    </w:p>
    <w:p w14:paraId="1F51569D">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24. 北京市住房和城乡建设委员会关于发布2021年《北京市房屋修缮工程计价依据——预算消耗量标准》动态调整（第一期）的通知（京建发〔2025〕433号）发布日期：2025年09月18日</w:t>
      </w:r>
    </w:p>
    <w:p w14:paraId="1DDEF78E">
      <w:pPr>
        <w:jc w:val="left"/>
        <w:rPr>
          <w:rFonts w:hint="eastAsia" w:ascii="仿宋" w:hAnsi="仿宋" w:eastAsia="仿宋" w:cs="仿宋"/>
          <w:sz w:val="32"/>
          <w:szCs w:val="32"/>
          <w:highlight w:val="none"/>
        </w:rPr>
      </w:pPr>
    </w:p>
    <w:p w14:paraId="4C38CE9D">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四、2021年《北京市房屋修缮工程计价依据—预算消耗量标准》</w:t>
      </w:r>
    </w:p>
    <w:p w14:paraId="47651D29">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（古建筑工程、土建工程）应用指南</w:t>
      </w:r>
    </w:p>
    <w:p w14:paraId="7E5FA5F5">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五、2021年《北京市房屋修缮工程计价依据——预算消耗量标准》动态调整（第一期）解读</w:t>
      </w:r>
    </w:p>
    <w:p w14:paraId="15B18AA6">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六、《关于执行〈建设工程工程量清单计价标准〉及配套工程量计算标准的实施意见》政策解读及实操</w:t>
      </w:r>
    </w:p>
    <w:p w14:paraId="53E98C0B">
      <w:pPr>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七、继续教育实务</w:t>
      </w:r>
    </w:p>
    <w:p w14:paraId="560EA337">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 合同篇</w:t>
      </w:r>
    </w:p>
    <w:p w14:paraId="056B8055">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 其他与造价有关的经济问题</w:t>
      </w:r>
    </w:p>
    <w:p w14:paraId="56DC8A43">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 招投标、投标清单与造价的关系</w:t>
      </w:r>
    </w:p>
    <w:p w14:paraId="094E94E9">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4. 合同、结算审计与造价的关系</w:t>
      </w:r>
    </w:p>
    <w:p w14:paraId="5CF97E9B">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5. 古建筑施工脚手架</w:t>
      </w:r>
    </w:p>
    <w:p w14:paraId="20C36EE7">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注：带*为自学内容</w:t>
      </w:r>
    </w:p>
    <w:p w14:paraId="1F08D3D2">
      <w:pPr>
        <w:widowControl/>
        <w:tabs>
          <w:tab w:val="left" w:pos="1260"/>
        </w:tabs>
        <w:ind w:firstLine="420" w:firstLineChars="200"/>
        <w:rPr>
          <w:highlight w:val="none"/>
        </w:rPr>
      </w:pPr>
    </w:p>
    <w:p w14:paraId="0DA9659D">
      <w:pPr>
        <w:spacing w:line="540" w:lineRule="exact"/>
        <w:ind w:firstLine="5120" w:firstLineChars="1600"/>
        <w:textAlignment w:val="baseline"/>
        <w:rPr>
          <w:rFonts w:ascii="仿宋" w:hAnsi="仿宋" w:eastAsia="仿宋" w:cs="仿宋"/>
          <w:color w:val="000000" w:themeColor="text1"/>
          <w:kern w:val="0"/>
          <w:sz w:val="32"/>
          <w:szCs w:val="32"/>
          <w:highlight w:val="none"/>
          <w14:textFill>
            <w14:solidFill>
              <w14:schemeClr w14:val="tx1"/>
            </w14:solidFill>
          </w14:textFill>
        </w:rPr>
      </w:pPr>
    </w:p>
    <w:p w14:paraId="617D14C3">
      <w:bookmarkStart w:id="2" w:name="_GoBack"/>
      <w:bookmarkEnd w:id="2"/>
    </w:p>
    <w:sectPr>
      <w:headerReference r:id="rId3" w:type="default"/>
      <w:pgSz w:w="11906" w:h="16838"/>
      <w:pgMar w:top="1394" w:right="1701" w:bottom="74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C04A4">
    <w:pPr>
      <w:pStyle w:val="3"/>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posOffset>-454660</wp:posOffset>
              </wp:positionH>
              <wp:positionV relativeFrom="paragraph">
                <wp:posOffset>2998470</wp:posOffset>
              </wp:positionV>
              <wp:extent cx="135255" cy="577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5255" cy="57785"/>
                      </a:xfrm>
                      <a:prstGeom prst="rect">
                        <a:avLst/>
                      </a:prstGeom>
                      <a:noFill/>
                      <a:ln w="6350">
                        <a:noFill/>
                      </a:ln>
                      <a:effectLst/>
                    </wps:spPr>
                    <wps:txbx>
                      <w:txbxContent>
                        <w:p w14:paraId="5FA708F0">
                          <w:pPr>
                            <w:pStyle w:val="2"/>
                          </w:pPr>
                        </w:p>
                      </w:txbxContent>
                    </wps:txbx>
                    <wps:bodyPr rot="0" spcFirstLastPara="0" vertOverflow="overflow" horzOverflow="overflow" vert="eaVert"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5.8pt;margin-top:236.1pt;height:4.55pt;width:10.65pt;mso-position-horizontal-relative:margin;mso-wrap-style:none;z-index:251659264;mso-width-relative:page;mso-height-relative:page;" filled="f" stroked="f" coordsize="21600,21600" o:gfxdata="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LMkvtsAAAALAQAADwAAAAAAAAABACAAAAAiAAAAZHJz&#10;L2Rvd25yZXYueG1sUEsBAhQAFAAAAAgAh07iQFuL1c46AgAAYgQAAA4AAAAAAAAAAQAgAAAAKgEA&#10;AGRycy9lMm9Eb2MueG1sUEsFBgAAAAAGAAYAWQEAANYFAAAAAA==&#10;">
              <v:path/>
              <v:fill on="f" focussize="0,0"/>
              <v:stroke on="f" weight="0.5pt" joinstyle="miter"/>
              <v:imagedata o:title=""/>
              <o:lock v:ext="edit"/>
              <v:textbox inset="0mm,0mm,0mm,0mm" style="layout-flow:vertical-ideographic;mso-fit-shape-to-text:t;">
                <w:txbxContent>
                  <w:p w14:paraId="5FA708F0">
                    <w:pPr>
                      <w:pStyle w:val="2"/>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878C8"/>
    <w:rsid w:val="4CE8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lang w:val="zh-CN"/>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2025-11-26T02:51:00Z</dcterms:created>
  <dc:creator>不喜</dc:creator>
  <cp:lastModifiedBy>不喜</cp:lastModifiedBy>
  <dcterms:modified xsi:type="dcterms:W3CDTF">2025-11-26T02:51:49Z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449C938C460F488FB4D4AEE1BB5BAA47_11</vt:lpwstr>
  </property>
  <property fmtid="{D5CDD505-2E9C-101B-9397-08002B2CF9AE}" pid="4" name="KSOTemplateDocerSaveRecord">
    <vt:lpwstr>eyJoZGlkIjoiZTY2MWUwMTM1YzQwNjdmN2IzOWQ1NDAzMzliOWU1YTAiLCJ1c2VySWQiOiI0MjQyOTk0NDkifQ==</vt:lpwstr>
  </property>
</Properties>
</file>